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黑体" w:cs="Times New Roman"/>
          <w:sz w:val="32"/>
          <w:szCs w:val="32"/>
        </w:rPr>
      </w:pPr>
      <w:r w:rsidRPr="009C1815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附件1</w:t>
      </w:r>
    </w:p>
    <w:p w:rsidR="009C1815" w:rsidRPr="009C1815" w:rsidRDefault="009C1815" w:rsidP="009C1815">
      <w:pPr>
        <w:widowControl/>
        <w:shd w:val="clear" w:color="auto" w:fill="FFFFFF"/>
        <w:spacing w:line="576" w:lineRule="exact"/>
        <w:ind w:right="-34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bookmarkStart w:id="0" w:name="_GoBack"/>
      <w:r w:rsidRPr="009C1815">
        <w:rPr>
          <w:rFonts w:ascii="方正小标宋简体" w:eastAsia="方正小标宋简体" w:hAnsi="黑体" w:cs="Times New Roman" w:hint="eastAsia"/>
          <w:sz w:val="36"/>
          <w:szCs w:val="36"/>
        </w:rPr>
        <w:t>特大型或技术特别复杂的房建市政工程范围</w:t>
      </w:r>
    </w:p>
    <w:bookmarkEnd w:id="0"/>
    <w:p w:rsidR="009C1815" w:rsidRPr="009C1815" w:rsidRDefault="009C1815" w:rsidP="009C1815">
      <w:pPr>
        <w:widowControl/>
        <w:shd w:val="clear" w:color="auto" w:fill="FFFFFF"/>
        <w:spacing w:line="576" w:lineRule="exact"/>
        <w:ind w:right="-34" w:firstLineChars="200" w:firstLine="634"/>
        <w:jc w:val="center"/>
        <w:rPr>
          <w:rFonts w:ascii="仿宋_GB2312" w:eastAsia="仿宋_GB2312" w:hAnsi="宋体" w:cs="Times New Roman"/>
          <w:color w:val="000000"/>
          <w:kern w:val="32"/>
          <w:sz w:val="32"/>
          <w:szCs w:val="32"/>
        </w:rPr>
      </w:pPr>
    </w:p>
    <w:p w:rsidR="009C1815" w:rsidRPr="009C1815" w:rsidRDefault="009C1815" w:rsidP="009C1815">
      <w:pPr>
        <w:widowControl/>
        <w:shd w:val="clear" w:color="auto" w:fill="FFFFFF"/>
        <w:spacing w:line="576" w:lineRule="exact"/>
        <w:ind w:right="-34" w:firstLineChars="200" w:firstLine="634"/>
        <w:jc w:val="left"/>
        <w:rPr>
          <w:rFonts w:ascii="仿宋_GB2312" w:eastAsia="仿宋_GB2312" w:hAnsi="Times New Roman" w:cs="Times New Roman"/>
          <w:color w:val="000000"/>
          <w:kern w:val="32"/>
          <w:sz w:val="32"/>
          <w:szCs w:val="32"/>
        </w:rPr>
      </w:pP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特大型房建市政工程：施工单项合同估算价在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10000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万元以上的房屋建筑和市政基础设施工程。</w:t>
      </w:r>
    </w:p>
    <w:p w:rsidR="009C1815" w:rsidRPr="009C1815" w:rsidRDefault="009C1815" w:rsidP="009C1815">
      <w:pPr>
        <w:widowControl/>
        <w:shd w:val="clear" w:color="auto" w:fill="FFFFFF"/>
        <w:spacing w:line="576" w:lineRule="exact"/>
        <w:ind w:right="-34" w:firstLineChars="200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技术特别复杂的房建市政工程：</w:t>
      </w:r>
    </w:p>
    <w:p w:rsidR="009C1815" w:rsidRPr="009C1815" w:rsidRDefault="009C1815" w:rsidP="009C1815">
      <w:pPr>
        <w:widowControl/>
        <w:shd w:val="clear" w:color="auto" w:fill="FFFFFF"/>
        <w:spacing w:line="576" w:lineRule="exact"/>
        <w:ind w:right="-34" w:firstLineChars="200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（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）房屋建筑：建筑高度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100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米以上、单</w:t>
      </w:r>
      <w:proofErr w:type="gramStart"/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跨</w:t>
      </w:r>
      <w:proofErr w:type="gramEnd"/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跨度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39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米以上或者单体建筑面积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10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万平米以上建筑物；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75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米以上大跨度钢结构工程；高度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120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米以上的高耸构筑物；深度或者高度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10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米以上的深基坑或者边坡支护（局部开挖面积不一致的，超过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10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米深度的基坑面积须超过基坑总开挖面积的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50%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以上）工程；按五星及以上标准设计的宾馆；大型仿古建筑（单体面积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1000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平米以上）；音乐厅、博物馆、体育场馆、影剧院、候机楼、会展中心等大型公共建筑工程；采用装配式等新型技术建设的房屋建筑。</w:t>
      </w:r>
    </w:p>
    <w:p w:rsidR="009C1815" w:rsidRPr="009C1815" w:rsidRDefault="009C1815" w:rsidP="009C1815">
      <w:pPr>
        <w:widowControl/>
        <w:shd w:val="clear" w:color="auto" w:fill="FFFFFF"/>
        <w:spacing w:line="576" w:lineRule="exact"/>
        <w:ind w:right="-34" w:firstLineChars="200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（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2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）市政工程：断面面积超过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25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平米以上</w:t>
      </w:r>
      <w:proofErr w:type="gramStart"/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或单洞长度</w:t>
      </w:r>
      <w:proofErr w:type="gramEnd"/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1000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米以上的隧道工程、单跨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45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米以上的城市桥梁、直径２米以上的大口径顶管工程、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15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万吨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/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日以上污水泵站或雨水泵站、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25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万吨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/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日以上的给水泵站、垃圾处理场、高压或者次高压天然气场站及管线工程、液化天然气（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LNG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）储罐项目、长距离输水隧洞、综合管廊、深度或者高度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10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米以上的深基坑或者边坡支护（局部开挖面积不一致的，超过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10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米深度的基坑面积须超过基坑总开挖面积的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50%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以上）。轨道交通区间车站主体、轨道铺设、监控信号安装、智能化等有特殊专业要求的工程。</w:t>
      </w:r>
    </w:p>
    <w:p w:rsidR="009C1815" w:rsidRPr="009C1815" w:rsidRDefault="009C1815" w:rsidP="009C1815">
      <w:pPr>
        <w:widowControl/>
        <w:shd w:val="clear" w:color="auto" w:fill="FFFFFF"/>
        <w:spacing w:line="576" w:lineRule="exact"/>
        <w:ind w:right="-34" w:firstLineChars="200" w:firstLine="634"/>
        <w:jc w:val="left"/>
        <w:rPr>
          <w:rFonts w:ascii="仿宋_GB2312" w:eastAsia="仿宋_GB2312" w:hAnsi="宋体" w:cs="Times New Roman"/>
          <w:color w:val="000000"/>
          <w:kern w:val="32"/>
          <w:sz w:val="32"/>
          <w:szCs w:val="32"/>
        </w:rPr>
      </w:pP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lastRenderedPageBreak/>
        <w:t>（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3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）施工有特殊要求或者采用新技术的各类实验（检验）室工程。</w:t>
      </w:r>
    </w:p>
    <w:p w:rsidR="009C1815" w:rsidRPr="009C1815" w:rsidRDefault="009C1815" w:rsidP="009C1815">
      <w:pPr>
        <w:widowControl/>
        <w:shd w:val="clear" w:color="auto" w:fill="FFFFFF"/>
        <w:spacing w:line="576" w:lineRule="exact"/>
        <w:ind w:right="-34" w:firstLineChars="200" w:firstLine="634"/>
        <w:jc w:val="left"/>
        <w:rPr>
          <w:rFonts w:ascii="仿宋_GB2312" w:eastAsia="仿宋_GB2312" w:hAnsi="宋体" w:cs="Times New Roman"/>
          <w:color w:val="000000"/>
          <w:kern w:val="32"/>
          <w:sz w:val="32"/>
          <w:szCs w:val="32"/>
        </w:rPr>
      </w:pP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（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4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）片区改造的城市更新工程、经省人民政府认定的历史文化街区风貌整治提升及保护修复工程。</w:t>
      </w:r>
    </w:p>
    <w:p w:rsidR="009C1815" w:rsidRPr="009C1815" w:rsidRDefault="009C1815" w:rsidP="009C1815">
      <w:pPr>
        <w:widowControl/>
        <w:shd w:val="clear" w:color="auto" w:fill="FFFFFF"/>
        <w:spacing w:line="576" w:lineRule="exact"/>
        <w:ind w:right="-34" w:firstLineChars="200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（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5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）其他有特殊专业技术要求的工程。如：采用曲面幕墙、爆破拆除、建筑物平移、金库、大型建筑物的抗震加固工程、大型网架工程等，以及经</w:t>
      </w:r>
      <w:r w:rsidRPr="009C1815">
        <w:rPr>
          <w:rFonts w:ascii="仿宋_GB2312" w:eastAsia="仿宋_GB2312" w:hAnsi="Times New Roman" w:cs="Times New Roman" w:hint="eastAsia"/>
          <w:color w:val="000000"/>
          <w:kern w:val="32"/>
          <w:sz w:val="32"/>
          <w:szCs w:val="32"/>
        </w:rPr>
        <w:t>5</w:t>
      </w:r>
      <w:r w:rsidRPr="009C1815">
        <w:rPr>
          <w:rFonts w:ascii="仿宋_GB2312" w:eastAsia="仿宋_GB2312" w:hAnsi="宋体" w:cs="Times New Roman" w:hint="eastAsia"/>
          <w:color w:val="000000"/>
          <w:kern w:val="32"/>
          <w:sz w:val="32"/>
          <w:szCs w:val="32"/>
        </w:rPr>
        <w:t>名以上专家论证确定的其他有特殊专业技术要求的工程。</w:t>
      </w:r>
    </w:p>
    <w:p w:rsidR="009C1815" w:rsidRPr="009C1815" w:rsidRDefault="009C1815" w:rsidP="009C1815">
      <w:pPr>
        <w:widowControl/>
        <w:shd w:val="clear" w:color="auto" w:fill="FFFFFF"/>
        <w:spacing w:line="576" w:lineRule="exact"/>
        <w:ind w:firstLineChars="200" w:firstLine="634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9C1815" w:rsidRPr="009C1815" w:rsidRDefault="009C1815" w:rsidP="009C1815">
      <w:pPr>
        <w:spacing w:line="576" w:lineRule="exact"/>
        <w:ind w:firstLineChars="200" w:firstLine="634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086F2E" w:rsidRPr="009C1815" w:rsidRDefault="00086F2E" w:rsidP="009C1815">
      <w:pPr>
        <w:rPr>
          <w:szCs w:val="32"/>
        </w:rPr>
      </w:pPr>
    </w:p>
    <w:sectPr w:rsidR="00086F2E" w:rsidRPr="009C1815" w:rsidSect="005921D0">
      <w:footerReference w:type="even" r:id="rId7"/>
      <w:footerReference w:type="default" r:id="rId8"/>
      <w:pgSz w:w="11906" w:h="16838"/>
      <w:pgMar w:top="1701" w:right="1474" w:bottom="1474" w:left="1531" w:header="851" w:footer="964" w:gutter="0"/>
      <w:cols w:space="720"/>
      <w:docGrid w:type="linesAndChars" w:linePitch="621" w:charSpace="-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2A" w:rsidRDefault="00657F2A" w:rsidP="005921D0">
      <w:r>
        <w:separator/>
      </w:r>
    </w:p>
  </w:endnote>
  <w:endnote w:type="continuationSeparator" w:id="0">
    <w:p w:rsidR="00657F2A" w:rsidRDefault="00657F2A" w:rsidP="0059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C8" w:rsidRDefault="002D2928">
    <w:pPr>
      <w:pStyle w:val="a4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3C09E0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3C09E0"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4</w:t>
    </w:r>
    <w:r w:rsidR="003C09E0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C8" w:rsidRDefault="002D2928">
    <w:pPr>
      <w:pStyle w:val="a4"/>
      <w:jc w:val="right"/>
      <w:rPr>
        <w:rFonts w:ascii="宋体" w:hAnsi="宋体" w:cs="宋体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 w:rsidR="003C09E0"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 w:rsidR="003C09E0">
      <w:rPr>
        <w:rFonts w:ascii="宋体" w:hAnsi="宋体" w:cs="宋体" w:hint="eastAsia"/>
        <w:kern w:val="0"/>
        <w:sz w:val="28"/>
        <w:szCs w:val="21"/>
      </w:rPr>
      <w:fldChar w:fldCharType="separate"/>
    </w:r>
    <w:r w:rsidR="00E54EF6">
      <w:rPr>
        <w:rFonts w:ascii="宋体" w:hAnsi="宋体" w:cs="宋体"/>
        <w:noProof/>
        <w:kern w:val="0"/>
        <w:sz w:val="28"/>
        <w:szCs w:val="21"/>
      </w:rPr>
      <w:t>1</w:t>
    </w:r>
    <w:r w:rsidR="003C09E0"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2A" w:rsidRDefault="00657F2A" w:rsidP="005921D0">
      <w:r>
        <w:separator/>
      </w:r>
    </w:p>
  </w:footnote>
  <w:footnote w:type="continuationSeparator" w:id="0">
    <w:p w:rsidR="00657F2A" w:rsidRDefault="00657F2A" w:rsidP="0059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D4"/>
    <w:rsid w:val="00004DCB"/>
    <w:rsid w:val="00044A84"/>
    <w:rsid w:val="00044E1A"/>
    <w:rsid w:val="0005597B"/>
    <w:rsid w:val="00074686"/>
    <w:rsid w:val="00086F2E"/>
    <w:rsid w:val="000A23D4"/>
    <w:rsid w:val="00100357"/>
    <w:rsid w:val="0010218B"/>
    <w:rsid w:val="00161246"/>
    <w:rsid w:val="00185664"/>
    <w:rsid w:val="001B5D3D"/>
    <w:rsid w:val="002516CD"/>
    <w:rsid w:val="00294EF0"/>
    <w:rsid w:val="002D2928"/>
    <w:rsid w:val="002D5A48"/>
    <w:rsid w:val="00304E22"/>
    <w:rsid w:val="00393BE2"/>
    <w:rsid w:val="003C09E0"/>
    <w:rsid w:val="003F3DA1"/>
    <w:rsid w:val="004428D4"/>
    <w:rsid w:val="004544AE"/>
    <w:rsid w:val="004725D7"/>
    <w:rsid w:val="004F1D7D"/>
    <w:rsid w:val="00506474"/>
    <w:rsid w:val="00520624"/>
    <w:rsid w:val="005213E7"/>
    <w:rsid w:val="00521CE7"/>
    <w:rsid w:val="00524EBB"/>
    <w:rsid w:val="005533CC"/>
    <w:rsid w:val="0057180F"/>
    <w:rsid w:val="005921D0"/>
    <w:rsid w:val="00594D84"/>
    <w:rsid w:val="005E349F"/>
    <w:rsid w:val="006138EA"/>
    <w:rsid w:val="00657F2A"/>
    <w:rsid w:val="006967D8"/>
    <w:rsid w:val="006B4020"/>
    <w:rsid w:val="007166BE"/>
    <w:rsid w:val="007378F8"/>
    <w:rsid w:val="00742BDD"/>
    <w:rsid w:val="00762CE1"/>
    <w:rsid w:val="00763434"/>
    <w:rsid w:val="00767DE0"/>
    <w:rsid w:val="007873AD"/>
    <w:rsid w:val="007B0701"/>
    <w:rsid w:val="007B1032"/>
    <w:rsid w:val="007D2BFE"/>
    <w:rsid w:val="0081024F"/>
    <w:rsid w:val="00825159"/>
    <w:rsid w:val="008A2211"/>
    <w:rsid w:val="008C2D80"/>
    <w:rsid w:val="008C53D2"/>
    <w:rsid w:val="008F3AD4"/>
    <w:rsid w:val="009002C8"/>
    <w:rsid w:val="00956DBF"/>
    <w:rsid w:val="00963162"/>
    <w:rsid w:val="009C1815"/>
    <w:rsid w:val="009F0DB4"/>
    <w:rsid w:val="00A14C1B"/>
    <w:rsid w:val="00A309D1"/>
    <w:rsid w:val="00AD2C80"/>
    <w:rsid w:val="00B01092"/>
    <w:rsid w:val="00B21B85"/>
    <w:rsid w:val="00B37950"/>
    <w:rsid w:val="00B50355"/>
    <w:rsid w:val="00B6795E"/>
    <w:rsid w:val="00B72201"/>
    <w:rsid w:val="00B80DF0"/>
    <w:rsid w:val="00BA6CF6"/>
    <w:rsid w:val="00BB755F"/>
    <w:rsid w:val="00BF381D"/>
    <w:rsid w:val="00C20529"/>
    <w:rsid w:val="00C82BF7"/>
    <w:rsid w:val="00CC05E4"/>
    <w:rsid w:val="00CD060B"/>
    <w:rsid w:val="00D141DB"/>
    <w:rsid w:val="00D3561F"/>
    <w:rsid w:val="00D401D4"/>
    <w:rsid w:val="00D71FFA"/>
    <w:rsid w:val="00DC5611"/>
    <w:rsid w:val="00DD62E4"/>
    <w:rsid w:val="00DF79BD"/>
    <w:rsid w:val="00E0625E"/>
    <w:rsid w:val="00E165C0"/>
    <w:rsid w:val="00E330BB"/>
    <w:rsid w:val="00E54EF6"/>
    <w:rsid w:val="00E56323"/>
    <w:rsid w:val="00E915D1"/>
    <w:rsid w:val="00EB42D3"/>
    <w:rsid w:val="00EC647C"/>
    <w:rsid w:val="00F33CBB"/>
    <w:rsid w:val="00F42147"/>
    <w:rsid w:val="00F85ACE"/>
    <w:rsid w:val="00FA4463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semiHidden/>
    <w:rsid w:val="002D292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semiHidden/>
    <w:rsid w:val="002D292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BA6CF6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762C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62C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semiHidden/>
    <w:rsid w:val="002D292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semiHidden/>
    <w:rsid w:val="002D292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BA6CF6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762C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62C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467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刘志军</cp:lastModifiedBy>
  <cp:revision>2</cp:revision>
  <cp:lastPrinted>2021-12-16T09:36:00Z</cp:lastPrinted>
  <dcterms:created xsi:type="dcterms:W3CDTF">2022-06-06T00:16:00Z</dcterms:created>
  <dcterms:modified xsi:type="dcterms:W3CDTF">2022-06-06T00:16:00Z</dcterms:modified>
</cp:coreProperties>
</file>