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E21AE">
      <w:pPr>
        <w:pStyle w:val="2"/>
        <w:ind w:firstLineChars="0" w:firstLine="0"/>
        <w:rPr>
          <w:rFonts w:ascii="黑体" w:eastAsia="黑体" w:hAnsi="黑体" w:cs="黑体" w:hint="eastAsia"/>
        </w:rPr>
      </w:pPr>
      <w:bookmarkStart w:id="0" w:name="_GoBack"/>
      <w:bookmarkEnd w:id="0"/>
      <w:r>
        <w:rPr>
          <w:rFonts w:ascii="黑体" w:eastAsia="黑体" w:hAnsi="黑体" w:cs="黑体" w:hint="eastAsia"/>
        </w:rPr>
        <w:t>附件</w:t>
      </w:r>
    </w:p>
    <w:p w:rsidR="00000000" w:rsidRDefault="007E21AE">
      <w:pPr>
        <w:rPr>
          <w:rFonts w:hint="eastAsia"/>
        </w:rPr>
      </w:pPr>
    </w:p>
    <w:p w:rsidR="00000000" w:rsidRDefault="007E21AE">
      <w:pPr>
        <w:pStyle w:val="2"/>
        <w:spacing w:line="740" w:lineRule="exact"/>
        <w:ind w:firstLineChars="0" w:firstLine="0"/>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关于进一步完善建筑市场监管机制</w:t>
      </w:r>
    </w:p>
    <w:p w:rsidR="00000000" w:rsidRDefault="007E21AE">
      <w:pPr>
        <w:pStyle w:val="2"/>
        <w:spacing w:line="740" w:lineRule="exact"/>
        <w:ind w:firstLineChars="0" w:firstLine="0"/>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持续优化建筑市场环境的通知</w:t>
      </w:r>
    </w:p>
    <w:p w:rsidR="00000000" w:rsidRDefault="007E21AE">
      <w:pPr>
        <w:spacing w:line="740" w:lineRule="exact"/>
        <w:jc w:val="center"/>
        <w:rPr>
          <w:rFonts w:ascii="方正楷体_GBK" w:eastAsia="方正楷体_GBK" w:hAnsi="方正楷体_GBK" w:cs="方正楷体_GBK" w:hint="eastAsia"/>
          <w:b/>
          <w:bCs/>
          <w:sz w:val="32"/>
          <w:szCs w:val="32"/>
        </w:rPr>
      </w:pPr>
      <w:r>
        <w:rPr>
          <w:rFonts w:ascii="方正楷体_GBK" w:eastAsia="方正楷体_GBK" w:hAnsi="方正楷体_GBK" w:cs="方正楷体_GBK" w:hint="eastAsia"/>
          <w:b/>
          <w:bCs/>
          <w:sz w:val="32"/>
          <w:szCs w:val="32"/>
        </w:rPr>
        <w:t>（征求意见稿）</w:t>
      </w:r>
    </w:p>
    <w:p w:rsidR="00000000" w:rsidRDefault="007E21AE">
      <w:pPr>
        <w:pStyle w:val="BodyTextIndent2"/>
        <w:ind w:leftChars="0" w:left="0"/>
        <w:rPr>
          <w:rFonts w:hint="eastAsia"/>
        </w:rPr>
      </w:pPr>
    </w:p>
    <w:p w:rsidR="00000000" w:rsidRDefault="007E21AE">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各省、自治区住房城乡建设厅，直辖市住房城乡建设（管）委，北京市规划自然资源委，新疆生产建设兵团住房城乡建设局：</w:t>
      </w:r>
    </w:p>
    <w:p w:rsidR="00000000" w:rsidRDefault="007E21AE">
      <w:pPr>
        <w:ind w:firstLineChars="200" w:firstLine="640"/>
        <w:rPr>
          <w:rFonts w:ascii="黑体" w:eastAsia="黑体" w:hAnsi="黑体" w:cs="黑体" w:hint="eastAsia"/>
          <w:spacing w:val="16"/>
          <w:sz w:val="32"/>
          <w:szCs w:val="32"/>
        </w:rPr>
      </w:pPr>
      <w:r>
        <w:rPr>
          <w:rFonts w:ascii="仿宋_GB2312" w:eastAsia="仿宋_GB2312" w:hAnsi="仿宋_GB2312" w:cs="仿宋_GB2312" w:hint="eastAsia"/>
          <w:sz w:val="32"/>
          <w:szCs w:val="32"/>
        </w:rPr>
        <w:t>为贯彻落实《中共中央</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国务院关于加快建设全国统一大市场的意见》</w:t>
      </w:r>
      <w:r>
        <w:rPr>
          <w:rFonts w:ascii="仿宋_GB2312" w:eastAsia="仿宋_GB2312" w:hAnsi="仿宋_GB2312" w:cs="仿宋_GB2312" w:hint="eastAsia"/>
          <w:sz w:val="32"/>
          <w:szCs w:val="32"/>
        </w:rPr>
        <w:t>《国务院办公厅关于创新完善体制机制</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推动招标投标市场规范健康发展的意见》</w:t>
      </w:r>
      <w:r>
        <w:rPr>
          <w:rFonts w:ascii="仿宋_GB2312" w:eastAsia="仿宋_GB2312" w:hAnsi="仿宋_GB2312" w:cs="仿宋_GB2312" w:hint="eastAsia"/>
          <w:sz w:val="32"/>
          <w:szCs w:val="32"/>
        </w:rPr>
        <w:t>精神，</w:t>
      </w:r>
      <w:r>
        <w:rPr>
          <w:rFonts w:ascii="仿宋_GB2312" w:eastAsia="仿宋_GB2312" w:hAnsi="仿宋_GB2312" w:cs="仿宋_GB2312" w:hint="eastAsia"/>
          <w:sz w:val="32"/>
          <w:szCs w:val="32"/>
        </w:rPr>
        <w:t>进一步</w:t>
      </w:r>
      <w:r>
        <w:rPr>
          <w:rFonts w:eastAsia="仿宋_GB2312" w:cs="仿宋_GB2312" w:hint="eastAsia"/>
          <w:sz w:val="32"/>
          <w:szCs w:val="32"/>
        </w:rPr>
        <w:t>夯实建筑市场经营主体责任，强化建筑市场监管</w:t>
      </w:r>
      <w:r>
        <w:rPr>
          <w:rFonts w:ascii="仿宋_GB2312" w:eastAsia="仿宋_GB2312" w:hAnsi="仿宋_GB2312" w:cs="仿宋_GB2312" w:hint="eastAsia"/>
          <w:sz w:val="32"/>
          <w:szCs w:val="32"/>
        </w:rPr>
        <w:t>，优化建筑市场环境，加快构建“宽进、严管、重处”建筑市场监管机制</w:t>
      </w:r>
      <w:r>
        <w:rPr>
          <w:rFonts w:ascii="仿宋_GB2312" w:eastAsia="仿宋_GB2312" w:hAnsi="仿宋_GB2312" w:cs="仿宋_GB2312" w:hint="eastAsia"/>
          <w:sz w:val="32"/>
          <w:szCs w:val="32"/>
        </w:rPr>
        <w:t>，现就有关工作通知如下。</w:t>
      </w:r>
    </w:p>
    <w:p w:rsidR="00000000" w:rsidRDefault="007E21AE" w:rsidP="009D0D47">
      <w:pPr>
        <w:pStyle w:val="2"/>
        <w:ind w:firstLine="643"/>
        <w:rPr>
          <w:rFonts w:eastAsia="仿宋_GB2312" w:hint="eastAsia"/>
        </w:rPr>
      </w:pPr>
      <w:r>
        <w:rPr>
          <w:rFonts w:ascii="楷体_GB2312" w:eastAsia="楷体_GB2312" w:hAnsi="楷体_GB2312" w:cs="楷体_GB2312" w:hint="eastAsia"/>
          <w:b/>
          <w:bCs/>
        </w:rPr>
        <w:t>一、强化建筑市场动态监管。</w:t>
      </w:r>
      <w:r>
        <w:rPr>
          <w:rFonts w:eastAsia="仿宋_GB2312" w:hint="eastAsia"/>
        </w:rPr>
        <w:t>优化市场准</w:t>
      </w:r>
      <w:r>
        <w:rPr>
          <w:rFonts w:eastAsia="仿宋_GB2312" w:hint="eastAsia"/>
        </w:rPr>
        <w:t>入服务，</w:t>
      </w:r>
      <w:r>
        <w:rPr>
          <w:rFonts w:eastAsia="仿宋_GB2312" w:hint="eastAsia"/>
        </w:rPr>
        <w:t>提高建设工程企业资质和专</w:t>
      </w:r>
      <w:r>
        <w:rPr>
          <w:rFonts w:eastAsia="仿宋_GB2312" w:hint="eastAsia"/>
        </w:rPr>
        <w:t>业技术人员注册审批工作便利度，积极探索智能化审批。</w:t>
      </w:r>
      <w:r>
        <w:rPr>
          <w:rFonts w:eastAsia="仿宋_GB2312" w:hint="eastAsia"/>
        </w:rPr>
        <w:t>加强企业资质动态核查，加大核查频次，对不符合资质标准的企业在全国建筑市场监管公共服务平台上标注“资质异常”；对标注企业以及发生工程质量安全责任事故、存在拖欠企业账款或农民工工资、转包、违法分包等违法违规行为的企业实施重点监管，加强对上述企业承</w:t>
      </w:r>
      <w:r>
        <w:rPr>
          <w:rFonts w:eastAsia="仿宋_GB2312" w:hint="eastAsia"/>
        </w:rPr>
        <w:lastRenderedPageBreak/>
        <w:t>揽工程项目的日常监督检查，对发现的违法违规问题及时予以处理。加大建筑市场清出力度，依法严肃查处发生工程质量安全责任事故、弄虚作假骗取资质或注册执业资格的企业或个人，维护建筑市场秩序。</w:t>
      </w:r>
    </w:p>
    <w:p w:rsidR="00000000" w:rsidRDefault="007E21AE">
      <w:pPr>
        <w:pStyle w:val="2"/>
        <w:ind w:firstLineChars="0" w:firstLine="642"/>
        <w:rPr>
          <w:rFonts w:eastAsia="仿宋_GB2312" w:hint="eastAsia"/>
        </w:rPr>
      </w:pPr>
      <w:r>
        <w:rPr>
          <w:rFonts w:ascii="楷体_GB2312" w:eastAsia="楷体_GB2312" w:hAnsi="楷体_GB2312" w:cs="楷体_GB2312" w:hint="eastAsia"/>
          <w:b/>
          <w:bCs/>
        </w:rPr>
        <w:t>二、</w:t>
      </w:r>
      <w:r>
        <w:rPr>
          <w:rFonts w:ascii="楷体_GB2312" w:eastAsia="楷体_GB2312" w:hAnsi="楷体_GB2312" w:cs="楷体_GB2312" w:hint="eastAsia"/>
          <w:b/>
          <w:bCs/>
        </w:rPr>
        <w:t>夯实建筑市场经营主体责任。</w:t>
      </w:r>
      <w:r>
        <w:rPr>
          <w:rFonts w:eastAsia="仿宋_GB2312" w:hint="eastAsia"/>
        </w:rPr>
        <w:t>明确建设单位质量安全首要责任</w:t>
      </w:r>
      <w:r>
        <w:rPr>
          <w:rFonts w:eastAsia="仿宋_GB2312" w:hint="eastAsia"/>
        </w:rPr>
        <w:t>，</w:t>
      </w:r>
      <w:r>
        <w:rPr>
          <w:rFonts w:eastAsia="仿宋_GB2312" w:hint="eastAsia"/>
        </w:rPr>
        <w:t>严格执行基本建设程序和发包制度，落实项目法人责任制，全面履行项目管理职责</w:t>
      </w:r>
      <w:r>
        <w:rPr>
          <w:rFonts w:eastAsia="仿宋_GB2312" w:hint="eastAsia"/>
        </w:rPr>
        <w:t>。</w:t>
      </w:r>
      <w:r>
        <w:rPr>
          <w:rFonts w:eastAsia="仿宋_GB2312" w:hint="eastAsia"/>
        </w:rPr>
        <w:t>压实</w:t>
      </w:r>
      <w:r>
        <w:rPr>
          <w:rFonts w:eastAsia="仿宋_GB2312" w:hint="eastAsia"/>
        </w:rPr>
        <w:t>工程勘察、设计、施工和监理等有关单位</w:t>
      </w:r>
      <w:r>
        <w:rPr>
          <w:rFonts w:eastAsia="仿宋_GB2312" w:hint="eastAsia"/>
        </w:rPr>
        <w:t>主体责任，完善质量安全管理体系，健全施工安全事前预防机制。强化</w:t>
      </w:r>
      <w:r>
        <w:rPr>
          <w:rFonts w:eastAsia="仿宋_GB2312" w:hint="eastAsia"/>
        </w:rPr>
        <w:t>项目负责人责任</w:t>
      </w:r>
      <w:r>
        <w:rPr>
          <w:rFonts w:eastAsia="仿宋_GB2312" w:hint="eastAsia"/>
        </w:rPr>
        <w:t>追究，严格落实质量安全“一票否决”制，对在质量安全事故中负有责任和存在违法违规行为的各方主体</w:t>
      </w:r>
      <w:r>
        <w:rPr>
          <w:rFonts w:eastAsia="仿宋_GB2312" w:hint="eastAsia"/>
        </w:rPr>
        <w:t>项目负责人</w:t>
      </w:r>
      <w:r>
        <w:rPr>
          <w:rFonts w:eastAsia="仿宋_GB2312" w:hint="eastAsia"/>
        </w:rPr>
        <w:t>，依法予以罚款、停止执业、吊销资格等行政处罚，并向社会公开，形成有效震慑，规范从业人员行为。</w:t>
      </w:r>
    </w:p>
    <w:p w:rsidR="00000000" w:rsidRDefault="007E21AE" w:rsidP="009D0D47">
      <w:pPr>
        <w:pStyle w:val="2"/>
        <w:ind w:firstLine="643"/>
        <w:rPr>
          <w:rFonts w:hint="eastAsia"/>
        </w:rPr>
      </w:pPr>
      <w:r>
        <w:rPr>
          <w:rFonts w:ascii="楷体_GB2312" w:eastAsia="楷体_GB2312" w:hAnsi="楷体_GB2312" w:cs="楷体_GB2312" w:hint="eastAsia"/>
          <w:b/>
          <w:bCs/>
        </w:rPr>
        <w:t>三、严格注册执业人员管理。</w:t>
      </w:r>
      <w:r>
        <w:rPr>
          <w:rFonts w:eastAsia="仿宋_GB2312" w:hint="eastAsia"/>
        </w:rPr>
        <w:t>完善平台功能，强化信息公开，在全国建筑市场监</w:t>
      </w:r>
      <w:r>
        <w:rPr>
          <w:rFonts w:eastAsia="仿宋_GB2312" w:hint="eastAsia"/>
        </w:rPr>
        <w:t>管公共服务平台</w:t>
      </w:r>
      <w:r>
        <w:rPr>
          <w:rFonts w:eastAsia="仿宋_GB2312" w:hint="eastAsia"/>
        </w:rPr>
        <w:t>公示</w:t>
      </w:r>
      <w:r>
        <w:rPr>
          <w:rFonts w:eastAsia="仿宋_GB2312" w:hint="eastAsia"/>
        </w:rPr>
        <w:t>注册人员变更注册单位次数和注册轨迹</w:t>
      </w:r>
      <w:r>
        <w:rPr>
          <w:rFonts w:eastAsia="仿宋_GB2312" w:hint="eastAsia"/>
        </w:rPr>
        <w:t>。加强专业技术人员注册变更管理，规范企业资质申报行为，</w:t>
      </w:r>
      <w:r>
        <w:rPr>
          <w:rFonts w:eastAsia="仿宋_GB2312" w:hint="eastAsia"/>
        </w:rPr>
        <w:t>对</w:t>
      </w:r>
      <w:r>
        <w:rPr>
          <w:rFonts w:eastAsia="仿宋_GB2312" w:hint="eastAsia"/>
        </w:rPr>
        <w:t>1</w:t>
      </w:r>
      <w:r>
        <w:rPr>
          <w:rFonts w:eastAsia="仿宋_GB2312" w:hint="eastAsia"/>
        </w:rPr>
        <w:t>年内变更注册单位</w:t>
      </w:r>
      <w:r>
        <w:rPr>
          <w:rFonts w:eastAsia="仿宋_GB2312" w:hint="eastAsia"/>
        </w:rPr>
        <w:t>2</w:t>
      </w:r>
      <w:r>
        <w:rPr>
          <w:rFonts w:eastAsia="仿宋_GB2312" w:hint="eastAsia"/>
        </w:rPr>
        <w:t>次及以上的注册人员，</w:t>
      </w:r>
      <w:r>
        <w:rPr>
          <w:rFonts w:eastAsia="仿宋_GB2312" w:hint="eastAsia"/>
        </w:rPr>
        <w:t>再次申请</w:t>
      </w:r>
      <w:r>
        <w:rPr>
          <w:rFonts w:eastAsia="仿宋_GB2312" w:hint="eastAsia"/>
        </w:rPr>
        <w:t>注册时不适用告知承诺制</w:t>
      </w:r>
      <w:r>
        <w:rPr>
          <w:rFonts w:eastAsia="仿宋_GB2312" w:hint="eastAsia"/>
        </w:rPr>
        <w:t>；</w:t>
      </w:r>
      <w:r>
        <w:rPr>
          <w:rFonts w:eastAsia="仿宋_GB2312" w:hint="eastAsia"/>
        </w:rPr>
        <w:t>在注册人员提出注销、变更等申请时，对注销、变更后注册人员</w:t>
      </w:r>
      <w:r>
        <w:rPr>
          <w:rFonts w:eastAsia="仿宋_GB2312" w:hint="eastAsia"/>
        </w:rPr>
        <w:t>不再</w:t>
      </w:r>
      <w:r>
        <w:rPr>
          <w:rFonts w:eastAsia="仿宋_GB2312" w:hint="eastAsia"/>
        </w:rPr>
        <w:t>达标的企业进行预警提醒</w:t>
      </w:r>
      <w:r>
        <w:rPr>
          <w:rFonts w:eastAsia="仿宋_GB2312" w:hint="eastAsia"/>
        </w:rPr>
        <w:t>；</w:t>
      </w:r>
      <w:r>
        <w:rPr>
          <w:rFonts w:eastAsia="仿宋_GB2312" w:hint="eastAsia"/>
        </w:rPr>
        <w:t>注册人员</w:t>
      </w:r>
      <w:r>
        <w:rPr>
          <w:rFonts w:eastAsia="仿宋_GB2312" w:hint="eastAsia"/>
        </w:rPr>
        <w:t>在</w:t>
      </w:r>
      <w:r>
        <w:rPr>
          <w:rFonts w:eastAsia="仿宋_GB2312" w:hint="eastAsia"/>
        </w:rPr>
        <w:t>2</w:t>
      </w:r>
      <w:r>
        <w:rPr>
          <w:rFonts w:eastAsia="仿宋_GB2312" w:hint="eastAsia"/>
        </w:rPr>
        <w:t>年内</w:t>
      </w:r>
      <w:r>
        <w:rPr>
          <w:rFonts w:eastAsia="仿宋_GB2312" w:hint="eastAsia"/>
        </w:rPr>
        <w:t>只能</w:t>
      </w:r>
      <w:r>
        <w:rPr>
          <w:rFonts w:eastAsia="仿宋_GB2312" w:hint="eastAsia"/>
        </w:rPr>
        <w:t>用于１</w:t>
      </w:r>
      <w:r>
        <w:rPr>
          <w:rFonts w:eastAsia="仿宋_GB2312" w:hint="eastAsia"/>
        </w:rPr>
        <w:t>家企</w:t>
      </w:r>
      <w:r>
        <w:rPr>
          <w:rFonts w:eastAsia="仿宋_GB2312" w:hint="eastAsia"/>
        </w:rPr>
        <w:t>业申请住房城乡建设部审批的资质</w:t>
      </w:r>
      <w:r>
        <w:rPr>
          <w:rFonts w:eastAsia="仿宋_GB2312" w:hint="eastAsia"/>
        </w:rPr>
        <w:t>。</w:t>
      </w:r>
    </w:p>
    <w:p w:rsidR="00000000" w:rsidRDefault="007E21AE" w:rsidP="009D0D47">
      <w:pPr>
        <w:pStyle w:val="2"/>
        <w:ind w:firstLine="643"/>
        <w:rPr>
          <w:rFonts w:eastAsia="仿宋_GB2312" w:hint="eastAsia"/>
        </w:rPr>
      </w:pPr>
      <w:r>
        <w:rPr>
          <w:rFonts w:ascii="楷体_GB2312" w:eastAsia="楷体_GB2312" w:hAnsi="楷体_GB2312" w:cs="楷体_GB2312" w:hint="eastAsia"/>
          <w:b/>
          <w:bCs/>
        </w:rPr>
        <w:t>四、</w:t>
      </w:r>
      <w:r>
        <w:rPr>
          <w:rFonts w:ascii="楷体_GB2312" w:eastAsia="楷体_GB2312" w:hAnsi="楷体_GB2312" w:cs="楷体_GB2312" w:hint="eastAsia"/>
          <w:b/>
          <w:bCs/>
        </w:rPr>
        <w:t>推动建筑工程服务按质择优。</w:t>
      </w:r>
      <w:r>
        <w:rPr>
          <w:rFonts w:eastAsia="仿宋_GB2312" w:hint="eastAsia"/>
        </w:rPr>
        <w:t>优化工程勘察、设计、</w:t>
      </w:r>
      <w:r>
        <w:rPr>
          <w:rFonts w:eastAsia="仿宋_GB2312" w:hint="eastAsia"/>
        </w:rPr>
        <w:lastRenderedPageBreak/>
        <w:t>监理等工程服务</w:t>
      </w:r>
      <w:r>
        <w:rPr>
          <w:rFonts w:eastAsia="仿宋_GB2312" w:hint="eastAsia"/>
        </w:rPr>
        <w:t>项目评标方法，突出技术因素，</w:t>
      </w:r>
      <w:r>
        <w:rPr>
          <w:rFonts w:eastAsia="仿宋_GB2312" w:hint="eastAsia"/>
        </w:rPr>
        <w:t>重点</w:t>
      </w:r>
      <w:r>
        <w:rPr>
          <w:rFonts w:eastAsia="仿宋_GB2312" w:hint="eastAsia"/>
        </w:rPr>
        <w:t>评审项目负责人及其团队能力、</w:t>
      </w:r>
      <w:r>
        <w:rPr>
          <w:rFonts w:eastAsia="仿宋_GB2312" w:hint="eastAsia"/>
        </w:rPr>
        <w:t>技术</w:t>
      </w:r>
      <w:r>
        <w:rPr>
          <w:rFonts w:eastAsia="仿宋_GB2312" w:hint="eastAsia"/>
        </w:rPr>
        <w:t>方案等内容</w:t>
      </w:r>
      <w:r>
        <w:rPr>
          <w:rFonts w:eastAsia="仿宋_GB2312" w:hint="eastAsia"/>
        </w:rPr>
        <w:t>，提高技术标权重，降低投标报价权重</w:t>
      </w:r>
      <w:r>
        <w:rPr>
          <w:rFonts w:eastAsia="仿宋_GB2312" w:hint="eastAsia"/>
        </w:rPr>
        <w:t>。</w:t>
      </w:r>
      <w:r>
        <w:rPr>
          <w:rFonts w:eastAsia="仿宋_GB2312" w:hint="eastAsia"/>
        </w:rPr>
        <w:t>探索改革评</w:t>
      </w:r>
      <w:r>
        <w:rPr>
          <w:rFonts w:eastAsia="仿宋_GB2312" w:hint="eastAsia"/>
        </w:rPr>
        <w:t>标规则，技术标和投标报价分别评审，先进行技术标评审，再对通过技术标评审的投标人的投标报价进行评审，最后进行综合评定，</w:t>
      </w:r>
      <w:r>
        <w:rPr>
          <w:rFonts w:eastAsia="仿宋_GB2312" w:hint="eastAsia"/>
        </w:rPr>
        <w:t>防止恶意低价竞争</w:t>
      </w:r>
      <w:r>
        <w:rPr>
          <w:rFonts w:eastAsia="仿宋_GB2312" w:hint="eastAsia"/>
        </w:rPr>
        <w:t>。探索工程服务价格激励机制，</w:t>
      </w:r>
      <w:r>
        <w:rPr>
          <w:rFonts w:eastAsia="仿宋_GB2312" w:hint="eastAsia"/>
        </w:rPr>
        <w:t>鼓励优质优价，根据</w:t>
      </w:r>
      <w:r>
        <w:rPr>
          <w:rFonts w:eastAsia="仿宋_GB2312" w:hint="eastAsia"/>
        </w:rPr>
        <w:t>工程</w:t>
      </w:r>
      <w:r>
        <w:rPr>
          <w:rFonts w:eastAsia="仿宋_GB2312" w:hint="eastAsia"/>
        </w:rPr>
        <w:t>服务内容、深度和质量合理确定服务价格</w:t>
      </w:r>
      <w:r>
        <w:rPr>
          <w:rFonts w:eastAsia="仿宋_GB2312" w:hint="eastAsia"/>
        </w:rPr>
        <w:t>，</w:t>
      </w:r>
      <w:r>
        <w:rPr>
          <w:rFonts w:eastAsia="仿宋_GB2312" w:hint="eastAsia"/>
        </w:rPr>
        <w:t>营造追求品质的市场环境</w:t>
      </w:r>
      <w:r>
        <w:rPr>
          <w:rFonts w:eastAsia="仿宋_GB2312" w:hint="eastAsia"/>
        </w:rPr>
        <w:t>。</w:t>
      </w:r>
    </w:p>
    <w:p w:rsidR="00000000" w:rsidRDefault="007E21AE" w:rsidP="009D0D47">
      <w:pPr>
        <w:pStyle w:val="2"/>
        <w:ind w:firstLine="643"/>
        <w:rPr>
          <w:rFonts w:eastAsia="仿宋_GB2312" w:hint="eastAsia"/>
        </w:rPr>
      </w:pPr>
      <w:r>
        <w:rPr>
          <w:rFonts w:ascii="楷体_GB2312" w:eastAsia="楷体_GB2312" w:hAnsi="楷体_GB2312" w:cs="楷体_GB2312" w:hint="eastAsia"/>
          <w:b/>
          <w:bCs/>
        </w:rPr>
        <w:t>五、积极推进建筑工程招标评定分离改革</w:t>
      </w:r>
      <w:r>
        <w:rPr>
          <w:rFonts w:ascii="楷体_GB2312" w:eastAsia="楷体_GB2312" w:hAnsi="楷体_GB2312" w:cs="楷体_GB2312" w:hint="eastAsia"/>
        </w:rPr>
        <w:t>。</w:t>
      </w:r>
      <w:r>
        <w:rPr>
          <w:rFonts w:eastAsia="仿宋_GB2312" w:hint="eastAsia"/>
        </w:rPr>
        <w:t>进一步探索完善建筑工程评定分离制度，厘清评标委员会职责定位，评标委员会依据招标文件规定，对投标文件的技术方案、投标报价等方面提出明确、具体的评标意见，并向招标人推荐合格的中标候选人。完善招标人定标机制，招标人应当科学制定定标规则</w:t>
      </w:r>
      <w:r>
        <w:rPr>
          <w:rFonts w:eastAsia="仿宋_GB2312" w:hint="eastAsia"/>
        </w:rPr>
        <w:t>，体现规范、透明、民主决策要求，建立健全内部程序、决策约束和风险防控机制，参考评标委员会的评标意见依规确定中标人，确保定标程序公正、结果公平。严格落实构建全国统一大市场要求，不得利用评定分离变相设置地方壁垒。</w:t>
      </w:r>
    </w:p>
    <w:p w:rsidR="00000000" w:rsidRDefault="007E21AE">
      <w:pPr>
        <w:pStyle w:val="2"/>
        <w:ind w:firstLineChars="0" w:firstLine="0"/>
        <w:rPr>
          <w:rFonts w:eastAsia="仿宋_GB2312" w:hint="eastAsia"/>
        </w:rPr>
      </w:pPr>
      <w:r>
        <w:rPr>
          <w:rFonts w:ascii="楷体_GB2312" w:eastAsia="楷体_GB2312" w:hAnsi="楷体_GB2312" w:cs="楷体_GB2312" w:hint="eastAsia"/>
          <w:b/>
          <w:bCs/>
        </w:rPr>
        <w:t xml:space="preserve">　　六、规范建筑市场发包承包活动。</w:t>
      </w:r>
      <w:r>
        <w:rPr>
          <w:rFonts w:eastAsia="仿宋_GB2312" w:hint="eastAsia"/>
        </w:rPr>
        <w:t>规范工程发包行为，建设单位不得将工程肢解发包，不得将工程发包给不具有相应资质的单位。规范</w:t>
      </w:r>
      <w:r>
        <w:rPr>
          <w:rFonts w:eastAsia="仿宋_GB2312" w:hint="eastAsia"/>
        </w:rPr>
        <w:t>工程分包行为，</w:t>
      </w:r>
      <w:r>
        <w:rPr>
          <w:rFonts w:eastAsia="仿宋_GB2312" w:hint="eastAsia"/>
        </w:rPr>
        <w:t>施工总承包</w:t>
      </w:r>
      <w:r>
        <w:rPr>
          <w:rFonts w:eastAsia="仿宋_GB2312" w:hint="eastAsia"/>
        </w:rPr>
        <w:t>单位</w:t>
      </w:r>
      <w:r>
        <w:rPr>
          <w:rFonts w:eastAsia="仿宋_GB2312" w:hint="eastAsia"/>
        </w:rPr>
        <w:t>对</w:t>
      </w:r>
      <w:r>
        <w:rPr>
          <w:rFonts w:eastAsia="仿宋_GB2312" w:hint="eastAsia"/>
        </w:rPr>
        <w:t>全部</w:t>
      </w:r>
      <w:r>
        <w:rPr>
          <w:rFonts w:eastAsia="仿宋_GB2312" w:hint="eastAsia"/>
        </w:rPr>
        <w:t>工程施工活动负总责</w:t>
      </w:r>
      <w:r>
        <w:rPr>
          <w:rFonts w:eastAsia="仿宋_GB2312" w:hint="eastAsia"/>
        </w:rPr>
        <w:t>，</w:t>
      </w:r>
      <w:r>
        <w:rPr>
          <w:rFonts w:eastAsia="仿宋_GB2312" w:hint="eastAsia"/>
        </w:rPr>
        <w:t>应当依法</w:t>
      </w:r>
      <w:r>
        <w:rPr>
          <w:rFonts w:eastAsia="仿宋_GB2312" w:hint="eastAsia"/>
        </w:rPr>
        <w:t>开展工程分包活动，</w:t>
      </w:r>
      <w:r>
        <w:rPr>
          <w:rFonts w:eastAsia="仿宋_GB2312" w:hint="eastAsia"/>
        </w:rPr>
        <w:t>不得</w:t>
      </w:r>
      <w:r>
        <w:rPr>
          <w:rFonts w:eastAsia="仿宋_GB2312" w:hint="eastAsia"/>
        </w:rPr>
        <w:t>将</w:t>
      </w:r>
      <w:r>
        <w:rPr>
          <w:rFonts w:eastAsia="仿宋_GB2312" w:hint="eastAsia"/>
        </w:rPr>
        <w:lastRenderedPageBreak/>
        <w:t>其承包的全部工程转给其他单位或肢解以后以分包的名义分别转给其他单位承包，不得将主体结构工程分包</w:t>
      </w:r>
      <w:r>
        <w:rPr>
          <w:rFonts w:eastAsia="仿宋_GB2312" w:hint="eastAsia"/>
        </w:rPr>
        <w:t>给其他单位，不得将工程分包给不具备相应资质条件的单位；</w:t>
      </w:r>
      <w:r>
        <w:rPr>
          <w:rFonts w:eastAsia="仿宋_GB2312" w:hint="eastAsia"/>
        </w:rPr>
        <w:t>对于国有企业中标工程项目的施工分包、服务分包和货物采购等，应当按照有关规定选用采购方式，</w:t>
      </w:r>
      <w:r>
        <w:rPr>
          <w:rFonts w:eastAsia="仿宋_GB2312" w:hint="eastAsia"/>
        </w:rPr>
        <w:t>按照“谁发包、谁负责”的原则加强对分包单位</w:t>
      </w:r>
      <w:r>
        <w:rPr>
          <w:rFonts w:eastAsia="仿宋_GB2312" w:hint="eastAsia"/>
        </w:rPr>
        <w:t>、货物供应商</w:t>
      </w:r>
      <w:r>
        <w:rPr>
          <w:rFonts w:eastAsia="仿宋_GB2312" w:hint="eastAsia"/>
        </w:rPr>
        <w:t>的管理</w:t>
      </w:r>
      <w:r>
        <w:rPr>
          <w:rFonts w:eastAsia="仿宋_GB2312" w:hint="eastAsia"/>
        </w:rPr>
        <w:t>，保障工程质量安全。</w:t>
      </w:r>
    </w:p>
    <w:p w:rsidR="00000000" w:rsidRDefault="007E21AE">
      <w:r>
        <w:rPr>
          <w:rFonts w:ascii="楷体_GB2312" w:eastAsia="楷体_GB2312" w:hAnsi="楷体_GB2312" w:cs="楷体_GB2312" w:hint="eastAsia"/>
          <w:b/>
          <w:bCs/>
          <w:spacing w:val="16"/>
          <w:sz w:val="32"/>
          <w:szCs w:val="32"/>
        </w:rPr>
        <w:t xml:space="preserve">　　七、</w:t>
      </w:r>
      <w:r>
        <w:rPr>
          <w:rFonts w:ascii="楷体_GB2312" w:eastAsia="楷体_GB2312" w:hAnsi="楷体_GB2312" w:cs="楷体_GB2312" w:hint="eastAsia"/>
          <w:b/>
          <w:bCs/>
          <w:sz w:val="32"/>
          <w:szCs w:val="32"/>
        </w:rPr>
        <w:t>严格落实工程款支付要求</w:t>
      </w:r>
      <w:r>
        <w:rPr>
          <w:rFonts w:ascii="仿宋_GB2312" w:eastAsia="仿宋_GB2312" w:hAnsi="仿宋_GB2312" w:cs="仿宋_GB2312" w:hint="eastAsia"/>
          <w:sz w:val="32"/>
          <w:szCs w:val="32"/>
        </w:rPr>
        <w:t>。规范工程进度款支付行为，</w:t>
      </w:r>
      <w:r>
        <w:rPr>
          <w:rFonts w:ascii="仿宋_GB2312" w:eastAsia="仿宋_GB2312" w:hAnsi="仿宋_GB2312" w:cs="仿宋_GB2312" w:hint="eastAsia"/>
          <w:sz w:val="32"/>
          <w:szCs w:val="32"/>
        </w:rPr>
        <w:t>政府投资项目建设单位应当严格落实《政府投资条例》（国务院令第</w:t>
      </w:r>
      <w:r>
        <w:rPr>
          <w:rFonts w:ascii="仿宋_GB2312" w:eastAsia="仿宋_GB2312" w:hAnsi="仿宋_GB2312" w:cs="仿宋_GB2312" w:hint="eastAsia"/>
          <w:sz w:val="32"/>
          <w:szCs w:val="32"/>
        </w:rPr>
        <w:t>712</w:t>
      </w:r>
      <w:r>
        <w:rPr>
          <w:rFonts w:ascii="仿宋_GB2312" w:eastAsia="仿宋_GB2312" w:hAnsi="仿宋_GB2312" w:cs="仿宋_GB2312" w:hint="eastAsia"/>
          <w:sz w:val="32"/>
          <w:szCs w:val="32"/>
        </w:rPr>
        <w:t>号）《关于完善建设工程价款结算有关办法的通知》（财建〔</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183</w:t>
      </w:r>
      <w:r>
        <w:rPr>
          <w:rFonts w:ascii="仿宋_GB2312" w:eastAsia="仿宋_GB2312" w:hAnsi="仿宋_GB2312" w:cs="仿宋_GB2312" w:hint="eastAsia"/>
          <w:sz w:val="32"/>
          <w:szCs w:val="32"/>
        </w:rPr>
        <w:t>号）要求，除留存法定额度工程质量保证金之外，及时足额支付工程进度款；工程竣工验收前，建设单位应按</w:t>
      </w:r>
      <w:r>
        <w:rPr>
          <w:rFonts w:ascii="仿宋_GB2312" w:eastAsia="仿宋_GB2312" w:hAnsi="仿宋_GB2312" w:cs="仿宋_GB2312" w:hint="eastAsia"/>
          <w:sz w:val="32"/>
          <w:szCs w:val="32"/>
        </w:rPr>
        <w:t>合同约定支付工程款到位；建筑企业可以与建设单位在合同中约定，</w:t>
      </w:r>
      <w:r>
        <w:rPr>
          <w:rFonts w:ascii="仿宋_GB2312" w:eastAsia="仿宋_GB2312" w:hAnsi="仿宋_GB2312" w:cs="仿宋_GB2312" w:hint="eastAsia"/>
          <w:sz w:val="32"/>
          <w:szCs w:val="32"/>
        </w:rPr>
        <w:t>工程进度款支付低于合同约定比例的，建筑企业不在工程竣工验收材料上签字，签字手续不全的，建设单位不得组织工程竣工验收。</w:t>
      </w:r>
      <w:r>
        <w:rPr>
          <w:rFonts w:ascii="仿宋_GB2312" w:eastAsia="仿宋_GB2312" w:hAnsi="仿宋_GB2312" w:cs="仿宋_GB2312" w:hint="eastAsia"/>
          <w:sz w:val="32"/>
          <w:szCs w:val="32"/>
        </w:rPr>
        <w:t>提高工程款结算效率，政府和国有投资工程不得以审计机关的审计结论作为工程结算依据，建设单位不得以未完成决算审计为由，拒绝或拖延办理工程结算和工程款支付。落实</w:t>
      </w:r>
      <w:r>
        <w:rPr>
          <w:rFonts w:eastAsia="仿宋_GB2312" w:cs="仿宋_GB2312" w:hint="eastAsia"/>
          <w:sz w:val="32"/>
          <w:szCs w:val="32"/>
        </w:rPr>
        <w:t>工程款支付担保要求，强化风险识别和监测，防范工程款支付风险。推进保函替代现金保证金，依法必须招标项目的招标人不得强制要求投标人、中标人缴纳现金投标保证金或履约保证金，承包单</w:t>
      </w:r>
      <w:r>
        <w:rPr>
          <w:rFonts w:eastAsia="仿宋_GB2312" w:cs="仿宋_GB2312" w:hint="eastAsia"/>
          <w:sz w:val="32"/>
          <w:szCs w:val="32"/>
        </w:rPr>
        <w:lastRenderedPageBreak/>
        <w:t>位可以保函</w:t>
      </w:r>
      <w:r>
        <w:rPr>
          <w:rFonts w:eastAsia="仿宋_GB2312" w:cs="仿宋_GB2312" w:hint="eastAsia"/>
          <w:sz w:val="32"/>
          <w:szCs w:val="32"/>
        </w:rPr>
        <w:t>（保险）方式替代现金存储农民工工资保证金、使用银行保函（保险）替代工程质量保证金。</w:t>
      </w:r>
    </w:p>
    <w:p w:rsidR="00000000" w:rsidRDefault="007E21AE" w:rsidP="009D0D47">
      <w:pPr>
        <w:pStyle w:val="2"/>
        <w:ind w:firstLine="643"/>
        <w:rPr>
          <w:rFonts w:eastAsia="仿宋_GB2312" w:hint="eastAsia"/>
        </w:rPr>
      </w:pPr>
      <w:r>
        <w:rPr>
          <w:rFonts w:ascii="楷体_GB2312" w:eastAsia="楷体_GB2312" w:hAnsi="楷体_GB2312" w:cs="楷体_GB2312" w:hint="eastAsia"/>
          <w:b/>
          <w:bCs/>
        </w:rPr>
        <w:t>八、加快推进建筑市场信用体系建设。</w:t>
      </w:r>
      <w:r>
        <w:rPr>
          <w:rFonts w:eastAsia="仿宋_GB2312" w:hint="eastAsia"/>
        </w:rPr>
        <w:t>规范建筑市场信用评价工作，</w:t>
      </w:r>
      <w:r>
        <w:rPr>
          <w:rFonts w:eastAsia="仿宋_GB2312" w:hint="eastAsia"/>
        </w:rPr>
        <w:t>不得</w:t>
      </w:r>
      <w:r>
        <w:rPr>
          <w:rFonts w:eastAsia="仿宋_GB2312" w:hint="eastAsia"/>
        </w:rPr>
        <w:t>以</w:t>
      </w:r>
      <w:r>
        <w:rPr>
          <w:rFonts w:eastAsia="仿宋_GB2312" w:hint="eastAsia"/>
        </w:rPr>
        <w:t>信用评价</w:t>
      </w:r>
      <w:r>
        <w:rPr>
          <w:rFonts w:eastAsia="仿宋_GB2312" w:hint="eastAsia"/>
        </w:rPr>
        <w:t>名义</w:t>
      </w:r>
      <w:r>
        <w:rPr>
          <w:rFonts w:eastAsia="仿宋_GB2312" w:hint="eastAsia"/>
        </w:rPr>
        <w:t>变相设</w:t>
      </w:r>
      <w:r>
        <w:rPr>
          <w:rFonts w:eastAsia="仿宋_GB2312" w:hint="eastAsia"/>
        </w:rPr>
        <w:t>置地方、企业</w:t>
      </w:r>
      <w:r>
        <w:rPr>
          <w:rFonts w:eastAsia="仿宋_GB2312" w:hint="eastAsia"/>
        </w:rPr>
        <w:t>壁垒，不得对各类经营主体区别对待</w:t>
      </w:r>
      <w:r>
        <w:rPr>
          <w:rFonts w:eastAsia="仿宋_GB2312" w:hint="eastAsia"/>
        </w:rPr>
        <w:t>，</w:t>
      </w:r>
      <w:r>
        <w:rPr>
          <w:rFonts w:eastAsia="仿宋_GB2312" w:hint="eastAsia"/>
        </w:rPr>
        <w:t>不得将特定行政区域业绩、设立本地分支机构作为</w:t>
      </w:r>
      <w:r>
        <w:rPr>
          <w:rFonts w:eastAsia="仿宋_GB2312" w:hint="eastAsia"/>
        </w:rPr>
        <w:t>信用评价</w:t>
      </w:r>
      <w:r>
        <w:rPr>
          <w:rFonts w:eastAsia="仿宋_GB2312" w:hint="eastAsia"/>
        </w:rPr>
        <w:t>加分事项。</w:t>
      </w:r>
      <w:r>
        <w:rPr>
          <w:rFonts w:eastAsia="仿宋_GB2312" w:hint="eastAsia"/>
        </w:rPr>
        <w:t>强化信用评价结果应用，</w:t>
      </w:r>
      <w:r>
        <w:rPr>
          <w:rFonts w:eastAsia="仿宋_GB2312" w:hint="eastAsia"/>
        </w:rPr>
        <w:t>推动</w:t>
      </w:r>
      <w:r>
        <w:rPr>
          <w:rFonts w:eastAsia="仿宋_GB2312" w:hint="eastAsia"/>
        </w:rPr>
        <w:t>信用</w:t>
      </w:r>
      <w:r>
        <w:rPr>
          <w:rFonts w:eastAsia="仿宋_GB2312" w:hint="eastAsia"/>
        </w:rPr>
        <w:t>评价结果在市场准入、</w:t>
      </w:r>
      <w:r>
        <w:rPr>
          <w:rFonts w:eastAsia="仿宋_GB2312" w:hint="eastAsia"/>
        </w:rPr>
        <w:t>行业</w:t>
      </w:r>
      <w:r>
        <w:rPr>
          <w:rFonts w:eastAsia="仿宋_GB2312" w:hint="eastAsia"/>
        </w:rPr>
        <w:t>监管领域</w:t>
      </w:r>
      <w:r>
        <w:rPr>
          <w:rFonts w:eastAsia="仿宋_GB2312" w:hint="eastAsia"/>
        </w:rPr>
        <w:t>的应用，鼓励建筑市场经营主体积极应用信用评价结果。建立健全信用修复机制，鼓励市场主体主动纠正失信行为，消除不良影响，提高信用管理效能。</w:t>
      </w:r>
      <w:r>
        <w:rPr>
          <w:rFonts w:eastAsia="仿宋_GB2312" w:hint="eastAsia"/>
        </w:rPr>
        <w:t xml:space="preserve"> </w:t>
      </w:r>
    </w:p>
    <w:p w:rsidR="00000000" w:rsidRDefault="007E21AE" w:rsidP="009D0D47">
      <w:pPr>
        <w:pStyle w:val="2"/>
        <w:ind w:firstLine="707"/>
        <w:rPr>
          <w:rFonts w:eastAsia="仿宋_GB2312" w:hint="eastAsia"/>
        </w:rPr>
      </w:pPr>
      <w:r>
        <w:rPr>
          <w:rFonts w:ascii="楷体_GB2312" w:eastAsia="楷体_GB2312" w:hAnsi="楷体_GB2312" w:cs="楷体_GB2312" w:hint="eastAsia"/>
          <w:b/>
          <w:bCs/>
          <w:spacing w:val="16"/>
        </w:rPr>
        <w:t>九、强化建筑市场数字化智能化监管。</w:t>
      </w:r>
      <w:r>
        <w:rPr>
          <w:rFonts w:eastAsia="仿宋_GB2312" w:hint="eastAsia"/>
        </w:rPr>
        <w:t>加</w:t>
      </w:r>
      <w:r>
        <w:rPr>
          <w:rFonts w:eastAsia="仿宋_GB2312" w:hint="eastAsia"/>
        </w:rPr>
        <w:t>强</w:t>
      </w:r>
      <w:r>
        <w:rPr>
          <w:rFonts w:ascii="Calibri" w:eastAsia="仿宋_GB2312" w:hAnsi="Calibri" w:hint="eastAsia"/>
        </w:rPr>
        <w:t>招标投标监管，</w:t>
      </w:r>
      <w:r>
        <w:rPr>
          <w:rFonts w:eastAsia="仿宋_GB2312" w:hint="eastAsia"/>
        </w:rPr>
        <w:t>加快招投标交易平台与</w:t>
      </w:r>
      <w:r>
        <w:rPr>
          <w:rFonts w:eastAsia="仿宋_GB2312" w:hint="eastAsia"/>
        </w:rPr>
        <w:t>建筑市场</w:t>
      </w:r>
      <w:r>
        <w:rPr>
          <w:rFonts w:eastAsia="仿宋_GB2312" w:hint="eastAsia"/>
        </w:rPr>
        <w:t>监管信息</w:t>
      </w:r>
      <w:r>
        <w:rPr>
          <w:rFonts w:eastAsia="仿宋_GB2312" w:hint="eastAsia"/>
        </w:rPr>
        <w:t>平台</w:t>
      </w:r>
      <w:r>
        <w:rPr>
          <w:rFonts w:eastAsia="仿宋_GB2312" w:hint="eastAsia"/>
        </w:rPr>
        <w:t>的互联共享，探索实施信息化预警，对交易项目、各方主体等进行</w:t>
      </w:r>
      <w:r>
        <w:rPr>
          <w:rFonts w:eastAsia="仿宋_GB2312" w:hint="eastAsia"/>
        </w:rPr>
        <w:t>深度</w:t>
      </w:r>
      <w:r>
        <w:rPr>
          <w:rFonts w:eastAsia="仿宋_GB2312" w:hint="eastAsia"/>
        </w:rPr>
        <w:t>分析，甄别违法违规行为，</w:t>
      </w:r>
      <w:r>
        <w:rPr>
          <w:rFonts w:eastAsia="仿宋_GB2312" w:hint="eastAsia"/>
        </w:rPr>
        <w:t>综合运用新型监管手段，</w:t>
      </w:r>
      <w:r>
        <w:rPr>
          <w:rFonts w:eastAsia="仿宋_GB2312" w:hint="eastAsia"/>
        </w:rPr>
        <w:t>实</w:t>
      </w:r>
      <w:r>
        <w:rPr>
          <w:rFonts w:eastAsia="仿宋_GB2312" w:hint="eastAsia"/>
        </w:rPr>
        <w:t>施</w:t>
      </w:r>
      <w:r>
        <w:rPr>
          <w:rFonts w:eastAsia="仿宋_GB2312" w:hint="eastAsia"/>
        </w:rPr>
        <w:t>科学精准、高效的智能化在线监管。</w:t>
      </w:r>
      <w:r>
        <w:rPr>
          <w:rFonts w:eastAsia="仿宋_GB2312" w:hint="eastAsia"/>
        </w:rPr>
        <w:t>强化建筑市场与施工现场联动管理，</w:t>
      </w:r>
      <w:r>
        <w:rPr>
          <w:rFonts w:eastAsia="仿宋_GB2312" w:hint="eastAsia"/>
        </w:rPr>
        <w:t>进一步完善全国建筑市场监管公共服务平台与省级建筑市场监管一体化</w:t>
      </w:r>
      <w:r>
        <w:rPr>
          <w:rFonts w:eastAsia="仿宋_GB2312" w:hint="eastAsia"/>
        </w:rPr>
        <w:t>工作</w:t>
      </w:r>
      <w:r>
        <w:rPr>
          <w:rFonts w:eastAsia="仿宋_GB2312" w:hint="eastAsia"/>
        </w:rPr>
        <w:t>平台，与</w:t>
      </w:r>
      <w:r>
        <w:rPr>
          <w:rFonts w:eastAsia="仿宋_GB2312" w:hint="eastAsia"/>
        </w:rPr>
        <w:t>全国</w:t>
      </w:r>
      <w:r>
        <w:rPr>
          <w:rFonts w:eastAsia="仿宋_GB2312" w:hint="eastAsia"/>
        </w:rPr>
        <w:t>建筑工人管理服务信息平台、工程质量安全监管信息系统、全国投资项目在线审批监管平台等管理平台实现互通共享，</w:t>
      </w:r>
      <w:r>
        <w:rPr>
          <w:rFonts w:eastAsia="仿宋_GB2312" w:hint="eastAsia"/>
        </w:rPr>
        <w:t>加强数据分析和信息化预警，</w:t>
      </w:r>
      <w:r>
        <w:rPr>
          <w:rFonts w:eastAsia="仿宋_GB2312" w:hint="eastAsia"/>
        </w:rPr>
        <w:t>及时</w:t>
      </w:r>
      <w:r>
        <w:rPr>
          <w:rFonts w:eastAsia="仿宋_GB2312" w:hint="eastAsia"/>
        </w:rPr>
        <w:t>发现转包、违法分包等违法违规问题线索，并依法依规查处，</w:t>
      </w:r>
      <w:r>
        <w:rPr>
          <w:rFonts w:eastAsia="仿宋_GB2312" w:hint="eastAsia"/>
        </w:rPr>
        <w:t>提升建筑行业治</w:t>
      </w:r>
      <w:r>
        <w:rPr>
          <w:rFonts w:eastAsia="仿宋_GB2312" w:hint="eastAsia"/>
        </w:rPr>
        <w:t>理能力。</w:t>
      </w:r>
    </w:p>
    <w:p w:rsidR="00000000" w:rsidRDefault="007E21AE">
      <w:pPr>
        <w:pStyle w:val="2"/>
        <w:ind w:firstLine="640"/>
        <w:rPr>
          <w:rFonts w:eastAsia="仿宋_GB2312" w:hint="eastAsia"/>
        </w:rPr>
      </w:pPr>
      <w:r>
        <w:rPr>
          <w:rFonts w:eastAsia="仿宋_GB2312" w:hint="eastAsia"/>
        </w:rPr>
        <w:t>各地</w:t>
      </w:r>
      <w:r>
        <w:rPr>
          <w:rFonts w:eastAsia="仿宋_GB2312" w:hint="eastAsia"/>
        </w:rPr>
        <w:t>要</w:t>
      </w:r>
      <w:r>
        <w:rPr>
          <w:rFonts w:eastAsia="仿宋_GB2312" w:hint="eastAsia"/>
        </w:rPr>
        <w:t>进一步提高政治站位，</w:t>
      </w:r>
      <w:r>
        <w:rPr>
          <w:rFonts w:eastAsia="仿宋_GB2312" w:hint="eastAsia"/>
        </w:rPr>
        <w:t>充分认识</w:t>
      </w:r>
      <w:r>
        <w:rPr>
          <w:rFonts w:eastAsia="仿宋_GB2312" w:hint="eastAsia"/>
        </w:rPr>
        <w:t>加强建筑市场监</w:t>
      </w:r>
      <w:r>
        <w:rPr>
          <w:rFonts w:eastAsia="仿宋_GB2312" w:hint="eastAsia"/>
        </w:rPr>
        <w:lastRenderedPageBreak/>
        <w:t>管对促进建筑业高质量发展</w:t>
      </w:r>
      <w:r>
        <w:rPr>
          <w:rFonts w:eastAsia="仿宋_GB2312" w:hint="eastAsia"/>
        </w:rPr>
        <w:t>的重要</w:t>
      </w:r>
      <w:r>
        <w:rPr>
          <w:rFonts w:eastAsia="仿宋_GB2312" w:hint="eastAsia"/>
        </w:rPr>
        <w:t>意义</w:t>
      </w:r>
      <w:r>
        <w:rPr>
          <w:rFonts w:eastAsia="仿宋_GB2312" w:hint="eastAsia"/>
        </w:rPr>
        <w:t>，明确工作目标，</w:t>
      </w:r>
      <w:r>
        <w:rPr>
          <w:rFonts w:eastAsia="仿宋_GB2312" w:hint="eastAsia"/>
        </w:rPr>
        <w:t>突出重点任务，</w:t>
      </w:r>
      <w:r>
        <w:rPr>
          <w:rFonts w:eastAsia="仿宋_GB2312" w:hint="eastAsia"/>
        </w:rPr>
        <w:t>强化责任落实，确保各项工作落到实处</w:t>
      </w:r>
      <w:r>
        <w:rPr>
          <w:rFonts w:eastAsia="仿宋_GB2312" w:hint="eastAsia"/>
        </w:rPr>
        <w:t>，构建协同监管机制，提升监管效能</w:t>
      </w:r>
      <w:r>
        <w:rPr>
          <w:rFonts w:eastAsia="仿宋_GB2312" w:hint="eastAsia"/>
        </w:rPr>
        <w:t>，</w:t>
      </w:r>
      <w:r>
        <w:rPr>
          <w:rFonts w:eastAsia="仿宋_GB2312" w:hint="eastAsia"/>
        </w:rPr>
        <w:t>规范市场秩序，营造统一开放、竞争有序的建筑市场环境。</w:t>
      </w:r>
    </w:p>
    <w:p w:rsidR="00000000" w:rsidRDefault="007E21AE">
      <w:pPr>
        <w:pStyle w:val="2"/>
        <w:ind w:firstLine="640"/>
        <w:rPr>
          <w:rFonts w:eastAsia="仿宋_GB2312" w:hint="eastAsia"/>
        </w:rPr>
      </w:pPr>
    </w:p>
    <w:p w:rsidR="007E21AE" w:rsidRDefault="007E21AE">
      <w:pPr>
        <w:rPr>
          <w:rFonts w:hint="eastAsia"/>
        </w:rPr>
      </w:pPr>
    </w:p>
    <w:sectPr w:rsidR="007E21AE">
      <w:footerReference w:type="default" r:id="rId7"/>
      <w:pgSz w:w="11906" w:h="16838"/>
      <w:pgMar w:top="1440" w:right="1800" w:bottom="1440" w:left="1800" w:header="851" w:footer="992" w:gutter="0"/>
      <w:pgNumType w:fmt="numberInDash" w:start="3"/>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1AE" w:rsidRDefault="007E21AE">
      <w:r>
        <w:separator/>
      </w:r>
    </w:p>
  </w:endnote>
  <w:endnote w:type="continuationSeparator" w:id="0">
    <w:p w:rsidR="007E21AE" w:rsidRDefault="007E2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DejaVu Sans">
    <w:charset w:val="00"/>
    <w:family w:val="roman"/>
    <w:pitch w:val="default"/>
    <w:sig w:usb0="E7006EFF" w:usb1="D200FDFF" w:usb2="0A246029" w:usb3="0400200C" w:csb0="600001FF" w:csb1="DFFF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方正楷体_GBK">
    <w:altName w:val="Arial Unicode MS"/>
    <w:charset w:val="86"/>
    <w:family w:val="auto"/>
    <w:pitch w:val="default"/>
    <w:sig w:usb0="00000000" w:usb1="0800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D0D47">
    <w:pPr>
      <w:pStyle w:val="a4"/>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4451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7E21AE">
                          <w:pPr>
                            <w:pStyle w:val="a4"/>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9D0D47">
                            <w:rPr>
                              <w:rFonts w:ascii="仿宋_GB2312" w:eastAsia="仿宋_GB2312" w:hAnsi="仿宋_GB2312" w:cs="仿宋_GB2312"/>
                              <w:noProof/>
                              <w:sz w:val="28"/>
                              <w:szCs w:val="28"/>
                            </w:rPr>
                            <w:t>- 3 -</w:t>
                          </w:r>
                          <w:r>
                            <w:rPr>
                              <w:rFonts w:ascii="仿宋_GB2312" w:eastAsia="仿宋_GB2312" w:hAnsi="仿宋_GB2312" w:cs="仿宋_GB2312"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16.15pt;margin-top:0;width:35.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" filled="f" stroked="f">
              <v:textbox style="mso-fit-shape-to-text:t" inset="0,0,0,0">
                <w:txbxContent>
                  <w:p w:rsidR="00000000" w:rsidRDefault="007E21AE">
                    <w:pPr>
                      <w:pStyle w:val="a4"/>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9D0D47">
                      <w:rPr>
                        <w:rFonts w:ascii="仿宋_GB2312" w:eastAsia="仿宋_GB2312" w:hAnsi="仿宋_GB2312" w:cs="仿宋_GB2312"/>
                        <w:noProof/>
                        <w:sz w:val="28"/>
                        <w:szCs w:val="28"/>
                      </w:rPr>
                      <w:t>- 3 -</w:t>
                    </w:r>
                    <w:r>
                      <w:rPr>
                        <w:rFonts w:ascii="仿宋_GB2312" w:eastAsia="仿宋_GB2312" w:hAnsi="仿宋_GB2312" w:cs="仿宋_GB2312"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1AE" w:rsidRDefault="007E21AE">
      <w:r>
        <w:separator/>
      </w:r>
    </w:p>
  </w:footnote>
  <w:footnote w:type="continuationSeparator" w:id="0">
    <w:p w:rsidR="007E21AE" w:rsidRDefault="007E21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B38640"/>
    <w:rsid w:val="007E21AE"/>
    <w:rsid w:val="009D0D47"/>
    <w:rsid w:val="09DF6B11"/>
    <w:rsid w:val="0FF4E163"/>
    <w:rsid w:val="16EF6087"/>
    <w:rsid w:val="1EC6775E"/>
    <w:rsid w:val="1F5E0037"/>
    <w:rsid w:val="1FA34415"/>
    <w:rsid w:val="2296158B"/>
    <w:rsid w:val="27770A58"/>
    <w:rsid w:val="28BFC716"/>
    <w:rsid w:val="2B7BA253"/>
    <w:rsid w:val="2BFFABC6"/>
    <w:rsid w:val="2CFD1850"/>
    <w:rsid w:val="2FEB2C18"/>
    <w:rsid w:val="2FF3B4E6"/>
    <w:rsid w:val="39791303"/>
    <w:rsid w:val="3B9B21C8"/>
    <w:rsid w:val="3BE58950"/>
    <w:rsid w:val="3CFF57BB"/>
    <w:rsid w:val="3D9BCE8E"/>
    <w:rsid w:val="3DA79087"/>
    <w:rsid w:val="3DF47010"/>
    <w:rsid w:val="3DFF8ED5"/>
    <w:rsid w:val="3E952D00"/>
    <w:rsid w:val="3EF7A1F6"/>
    <w:rsid w:val="3F379741"/>
    <w:rsid w:val="3F7F451A"/>
    <w:rsid w:val="3FBBE3A0"/>
    <w:rsid w:val="3FCFE8AA"/>
    <w:rsid w:val="3FE3CD8E"/>
    <w:rsid w:val="3FFEE967"/>
    <w:rsid w:val="412788EF"/>
    <w:rsid w:val="47F7B104"/>
    <w:rsid w:val="49FB1AD6"/>
    <w:rsid w:val="4DFBF199"/>
    <w:rsid w:val="4FC31054"/>
    <w:rsid w:val="4FD7E0CF"/>
    <w:rsid w:val="4FFB1835"/>
    <w:rsid w:val="57B6E5FC"/>
    <w:rsid w:val="57DE9923"/>
    <w:rsid w:val="596F8B4C"/>
    <w:rsid w:val="59FF50A7"/>
    <w:rsid w:val="5ADD685C"/>
    <w:rsid w:val="5BFF6D12"/>
    <w:rsid w:val="5C7B775C"/>
    <w:rsid w:val="5D5B6A5D"/>
    <w:rsid w:val="5DDDEBFC"/>
    <w:rsid w:val="5DE5E7B2"/>
    <w:rsid w:val="5DF32D3F"/>
    <w:rsid w:val="5ED5E005"/>
    <w:rsid w:val="5EEF0F83"/>
    <w:rsid w:val="5F7F24DC"/>
    <w:rsid w:val="5F939E0E"/>
    <w:rsid w:val="5FD9E209"/>
    <w:rsid w:val="5FDFBF12"/>
    <w:rsid w:val="5FF942BB"/>
    <w:rsid w:val="5FFB8C58"/>
    <w:rsid w:val="5FFD75E8"/>
    <w:rsid w:val="5FFF18D1"/>
    <w:rsid w:val="5FFF28EF"/>
    <w:rsid w:val="63FDA796"/>
    <w:rsid w:val="653FCE3B"/>
    <w:rsid w:val="65DF4576"/>
    <w:rsid w:val="67FD0C69"/>
    <w:rsid w:val="6B3F1285"/>
    <w:rsid w:val="6C7A8C23"/>
    <w:rsid w:val="6DBBC913"/>
    <w:rsid w:val="6DEDF11E"/>
    <w:rsid w:val="6EBA18FB"/>
    <w:rsid w:val="6EF5E14B"/>
    <w:rsid w:val="6F3DBFF3"/>
    <w:rsid w:val="6F47180B"/>
    <w:rsid w:val="6FAFA308"/>
    <w:rsid w:val="6FBDDF8B"/>
    <w:rsid w:val="6FDBA089"/>
    <w:rsid w:val="6FFFA055"/>
    <w:rsid w:val="70B6028E"/>
    <w:rsid w:val="735E219F"/>
    <w:rsid w:val="73763884"/>
    <w:rsid w:val="73BD1596"/>
    <w:rsid w:val="73BFE155"/>
    <w:rsid w:val="73FF449B"/>
    <w:rsid w:val="74BBB367"/>
    <w:rsid w:val="7767541E"/>
    <w:rsid w:val="77B30DE3"/>
    <w:rsid w:val="77FF4DED"/>
    <w:rsid w:val="79BDCF59"/>
    <w:rsid w:val="79DB17F7"/>
    <w:rsid w:val="79DF7778"/>
    <w:rsid w:val="7AF7A078"/>
    <w:rsid w:val="7AFF2009"/>
    <w:rsid w:val="7B7F697F"/>
    <w:rsid w:val="7BBA1AAB"/>
    <w:rsid w:val="7CDF8F23"/>
    <w:rsid w:val="7D43549E"/>
    <w:rsid w:val="7DC3987E"/>
    <w:rsid w:val="7DCFD875"/>
    <w:rsid w:val="7DF7BBBE"/>
    <w:rsid w:val="7DFB4EBB"/>
    <w:rsid w:val="7DFCE32E"/>
    <w:rsid w:val="7E5B09AA"/>
    <w:rsid w:val="7E7DF0A2"/>
    <w:rsid w:val="7E7FBC23"/>
    <w:rsid w:val="7EB6E531"/>
    <w:rsid w:val="7EDBF188"/>
    <w:rsid w:val="7EFF9BF0"/>
    <w:rsid w:val="7F1BA280"/>
    <w:rsid w:val="7F276891"/>
    <w:rsid w:val="7F4EF179"/>
    <w:rsid w:val="7F5F22D5"/>
    <w:rsid w:val="7F68477B"/>
    <w:rsid w:val="7F76EF1E"/>
    <w:rsid w:val="7F7DA30C"/>
    <w:rsid w:val="7F97959C"/>
    <w:rsid w:val="7FAE4BF6"/>
    <w:rsid w:val="7FB6EFAF"/>
    <w:rsid w:val="7FB7BD7F"/>
    <w:rsid w:val="7FBD8A89"/>
    <w:rsid w:val="7FD6E2B3"/>
    <w:rsid w:val="7FDE7751"/>
    <w:rsid w:val="7FDF1705"/>
    <w:rsid w:val="7FDF9343"/>
    <w:rsid w:val="7FEB4979"/>
    <w:rsid w:val="7FEF71CF"/>
    <w:rsid w:val="7FF5A7EB"/>
    <w:rsid w:val="7FFD11CA"/>
    <w:rsid w:val="89BD71E6"/>
    <w:rsid w:val="9BF5F7F9"/>
    <w:rsid w:val="9DEFCE0F"/>
    <w:rsid w:val="9F1F957F"/>
    <w:rsid w:val="A37A664A"/>
    <w:rsid w:val="AB9B254A"/>
    <w:rsid w:val="B33F4477"/>
    <w:rsid w:val="B3937E33"/>
    <w:rsid w:val="B3B6C9FC"/>
    <w:rsid w:val="B6FF0FB4"/>
    <w:rsid w:val="B8F65A29"/>
    <w:rsid w:val="B9CFEAF6"/>
    <w:rsid w:val="B9ED1C79"/>
    <w:rsid w:val="BBFD81FC"/>
    <w:rsid w:val="BBFFF724"/>
    <w:rsid w:val="BDF73C6C"/>
    <w:rsid w:val="BDFD6412"/>
    <w:rsid w:val="BDFF4A85"/>
    <w:rsid w:val="BEB384D4"/>
    <w:rsid w:val="BEFDB23A"/>
    <w:rsid w:val="BF1FBFED"/>
    <w:rsid w:val="BF395256"/>
    <w:rsid w:val="BF4F85BD"/>
    <w:rsid w:val="BF6F7D1E"/>
    <w:rsid w:val="BF77EB40"/>
    <w:rsid w:val="BF7DE627"/>
    <w:rsid w:val="C4FFD07F"/>
    <w:rsid w:val="C7BF5F39"/>
    <w:rsid w:val="C7EF6C0B"/>
    <w:rsid w:val="CDAF1367"/>
    <w:rsid w:val="CF543387"/>
    <w:rsid w:val="CFEDD590"/>
    <w:rsid w:val="CFF4AC6A"/>
    <w:rsid w:val="D2BE4D35"/>
    <w:rsid w:val="D3575CB5"/>
    <w:rsid w:val="D67FDE19"/>
    <w:rsid w:val="DADFF05C"/>
    <w:rsid w:val="DDC7B476"/>
    <w:rsid w:val="DDEBF218"/>
    <w:rsid w:val="DEE56169"/>
    <w:rsid w:val="DEFBFF07"/>
    <w:rsid w:val="DF2D0C89"/>
    <w:rsid w:val="DF6F9116"/>
    <w:rsid w:val="DFB6CBAE"/>
    <w:rsid w:val="DFB7F8F6"/>
    <w:rsid w:val="DFBD00DA"/>
    <w:rsid w:val="DFDDA3EC"/>
    <w:rsid w:val="E18F3D3B"/>
    <w:rsid w:val="E1EA5874"/>
    <w:rsid w:val="E3FF79B9"/>
    <w:rsid w:val="E6FD624E"/>
    <w:rsid w:val="EA0FF294"/>
    <w:rsid w:val="EB4D3913"/>
    <w:rsid w:val="EBE51576"/>
    <w:rsid w:val="EEDD8DA7"/>
    <w:rsid w:val="EEFB60EE"/>
    <w:rsid w:val="EEFFDCD5"/>
    <w:rsid w:val="EF3C129B"/>
    <w:rsid w:val="EFBDBED9"/>
    <w:rsid w:val="EFFD342E"/>
    <w:rsid w:val="EFFDB3A9"/>
    <w:rsid w:val="EFFE38AF"/>
    <w:rsid w:val="F05F3C31"/>
    <w:rsid w:val="F2B4597C"/>
    <w:rsid w:val="F3AF77A5"/>
    <w:rsid w:val="F45A2ED1"/>
    <w:rsid w:val="F4FD7A11"/>
    <w:rsid w:val="F4FE4723"/>
    <w:rsid w:val="F59D005B"/>
    <w:rsid w:val="F59F97B5"/>
    <w:rsid w:val="F6B68DA6"/>
    <w:rsid w:val="F73B8FF1"/>
    <w:rsid w:val="F757E92E"/>
    <w:rsid w:val="F7AF8C98"/>
    <w:rsid w:val="F7BE3132"/>
    <w:rsid w:val="F7C743DB"/>
    <w:rsid w:val="F7EBE9FD"/>
    <w:rsid w:val="F7EE5729"/>
    <w:rsid w:val="F7EF7893"/>
    <w:rsid w:val="F7FF0508"/>
    <w:rsid w:val="F8DECD64"/>
    <w:rsid w:val="F8FEA977"/>
    <w:rsid w:val="F9FC2745"/>
    <w:rsid w:val="F9FF771D"/>
    <w:rsid w:val="FB2BC2A4"/>
    <w:rsid w:val="FBB6E5E7"/>
    <w:rsid w:val="FBBBA10D"/>
    <w:rsid w:val="FBEFBAB6"/>
    <w:rsid w:val="FBFFE7B3"/>
    <w:rsid w:val="FC3F8FC2"/>
    <w:rsid w:val="FCBBE985"/>
    <w:rsid w:val="FCFE0910"/>
    <w:rsid w:val="FE56EAA0"/>
    <w:rsid w:val="FE7F1E0E"/>
    <w:rsid w:val="FE9C48B7"/>
    <w:rsid w:val="FEB38640"/>
    <w:rsid w:val="FEF32977"/>
    <w:rsid w:val="FEFF8AED"/>
    <w:rsid w:val="FF2FC8E4"/>
    <w:rsid w:val="FF9D9A62"/>
    <w:rsid w:val="FFBC431B"/>
    <w:rsid w:val="FFD78F32"/>
    <w:rsid w:val="FFDE5E83"/>
    <w:rsid w:val="FFDE7808"/>
    <w:rsid w:val="FFE55657"/>
    <w:rsid w:val="FFED9E17"/>
    <w:rsid w:val="FFF6CBB0"/>
    <w:rsid w:val="FFF8FB96"/>
    <w:rsid w:val="FFFB3329"/>
    <w:rsid w:val="FFFDA286"/>
    <w:rsid w:val="FFFE6E61"/>
    <w:rsid w:val="FFFEE465"/>
    <w:rsid w:val="FFFF04F4"/>
    <w:rsid w:val="FFFF1134"/>
    <w:rsid w:val="FFFF2981"/>
    <w:rsid w:val="FFFF4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BodyTextIndent2"/>
    <w:qFormat/>
    <w:pPr>
      <w:widowControl w:val="0"/>
      <w:jc w:val="both"/>
    </w:pPr>
    <w:rPr>
      <w:kern w:val="2"/>
      <w:sz w:val="21"/>
      <w:szCs w:val="24"/>
    </w:rPr>
  </w:style>
  <w:style w:type="paragraph" w:styleId="1">
    <w:name w:val="heading 1"/>
    <w:basedOn w:val="a"/>
    <w:next w:val="a"/>
    <w:qFormat/>
    <w:pPr>
      <w:keepNext/>
      <w:keepLines/>
      <w:spacing w:after="560" w:line="560" w:lineRule="exact"/>
      <w:jc w:val="center"/>
      <w:outlineLvl w:val="0"/>
    </w:pPr>
    <w:rPr>
      <w:rFonts w:eastAsia="方正小标宋简体"/>
      <w:bCs/>
      <w:kern w:val="44"/>
      <w:sz w:val="44"/>
      <w:szCs w:val="44"/>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Indent2">
    <w:name w:val="Body Text Indent 2"/>
    <w:basedOn w:val="a"/>
    <w:qFormat/>
    <w:pPr>
      <w:spacing w:after="120" w:line="480" w:lineRule="auto"/>
      <w:ind w:leftChars="200" w:left="200"/>
    </w:pPr>
  </w:style>
  <w:style w:type="paragraph" w:styleId="a3">
    <w:name w:val="Body Text Indent"/>
    <w:basedOn w:val="a"/>
    <w:next w:val="2"/>
    <w:qFormat/>
    <w:pPr>
      <w:ind w:firstLineChars="200" w:firstLine="420"/>
    </w:pPr>
  </w:style>
  <w:style w:type="paragraph" w:styleId="2">
    <w:name w:val="Body Text First Indent 2"/>
    <w:basedOn w:val="a3"/>
    <w:next w:val="a"/>
    <w:qFormat/>
    <w:pPr>
      <w:ind w:firstLine="40"/>
    </w:pPr>
    <w:rPr>
      <w:rFonts w:ascii="仿宋_GB2312" w:eastAsia="仿宋" w:hAnsi="仿宋_GB2312" w:cs="仿宋_GB2312"/>
      <w:sz w:val="32"/>
      <w:szCs w:val="32"/>
    </w:rPr>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BodyTextIndent2"/>
    <w:qFormat/>
    <w:pPr>
      <w:widowControl w:val="0"/>
      <w:jc w:val="both"/>
    </w:pPr>
    <w:rPr>
      <w:kern w:val="2"/>
      <w:sz w:val="21"/>
      <w:szCs w:val="24"/>
    </w:rPr>
  </w:style>
  <w:style w:type="paragraph" w:styleId="1">
    <w:name w:val="heading 1"/>
    <w:basedOn w:val="a"/>
    <w:next w:val="a"/>
    <w:qFormat/>
    <w:pPr>
      <w:keepNext/>
      <w:keepLines/>
      <w:spacing w:after="560" w:line="560" w:lineRule="exact"/>
      <w:jc w:val="center"/>
      <w:outlineLvl w:val="0"/>
    </w:pPr>
    <w:rPr>
      <w:rFonts w:eastAsia="方正小标宋简体"/>
      <w:bCs/>
      <w:kern w:val="44"/>
      <w:sz w:val="44"/>
      <w:szCs w:val="44"/>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Indent2">
    <w:name w:val="Body Text Indent 2"/>
    <w:basedOn w:val="a"/>
    <w:qFormat/>
    <w:pPr>
      <w:spacing w:after="120" w:line="480" w:lineRule="auto"/>
      <w:ind w:leftChars="200" w:left="200"/>
    </w:pPr>
  </w:style>
  <w:style w:type="paragraph" w:styleId="a3">
    <w:name w:val="Body Text Indent"/>
    <w:basedOn w:val="a"/>
    <w:next w:val="2"/>
    <w:qFormat/>
    <w:pPr>
      <w:ind w:firstLineChars="200" w:firstLine="420"/>
    </w:pPr>
  </w:style>
  <w:style w:type="paragraph" w:styleId="2">
    <w:name w:val="Body Text First Indent 2"/>
    <w:basedOn w:val="a3"/>
    <w:next w:val="a"/>
    <w:qFormat/>
    <w:pPr>
      <w:ind w:firstLine="40"/>
    </w:pPr>
    <w:rPr>
      <w:rFonts w:ascii="仿宋_GB2312" w:eastAsia="仿宋" w:hAnsi="仿宋_GB2312" w:cs="仿宋_GB2312"/>
      <w:sz w:val="32"/>
      <w:szCs w:val="32"/>
    </w:rPr>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400</Words>
  <Characters>2284</Characters>
  <Application>Microsoft Office Word</Application>
  <DocSecurity>0</DocSecurity>
  <Lines>19</Lines>
  <Paragraphs>5</Paragraphs>
  <ScaleCrop>false</ScaleCrop>
  <Company>HP Inc.</Company>
  <LinksUpToDate>false</LinksUpToDate>
  <CharactersWithSpaces>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liam</dc:creator>
  <cp:lastModifiedBy>刘志军</cp:lastModifiedBy>
  <cp:revision>2</cp:revision>
  <cp:lastPrinted>2025-11-25T17:59:00Z</cp:lastPrinted>
  <dcterms:created xsi:type="dcterms:W3CDTF">2025-12-01T01:56:00Z</dcterms:created>
  <dcterms:modified xsi:type="dcterms:W3CDTF">2025-12-01T01:56:00Z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